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D5" w:rsidRPr="00DC5CFB" w:rsidRDefault="00923ED5" w:rsidP="005E1F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23ED5" w:rsidRDefault="00923ED5" w:rsidP="00D148E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B5" w:rsidRPr="00A82265" w:rsidRDefault="00A82265" w:rsidP="00A8226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6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419B5" w:rsidRDefault="002419B5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B5">
        <w:rPr>
          <w:rFonts w:ascii="Times New Roman" w:hAnsi="Times New Roman" w:cs="Times New Roman"/>
          <w:b/>
          <w:sz w:val="24"/>
          <w:szCs w:val="24"/>
        </w:rPr>
        <w:t>Реклама наркотических средств и психотропных веще</w:t>
      </w:r>
      <w:proofErr w:type="gramStart"/>
      <w:r w:rsidRPr="002419B5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2419B5">
        <w:rPr>
          <w:rFonts w:ascii="Times New Roman" w:hAnsi="Times New Roman" w:cs="Times New Roman"/>
          <w:b/>
          <w:sz w:val="24"/>
          <w:szCs w:val="24"/>
        </w:rPr>
        <w:t xml:space="preserve">отивозаконна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Согласно ст. 6 Федерального закона от 27.07.2006 № 149-ФЗ «Об информации, информационных технологиях и о защите информации» (далее – Закон № 149-ФЗ) в Российской Федерации запрещено распространение информации, направленной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B5">
        <w:rPr>
          <w:rFonts w:ascii="Times New Roman" w:hAnsi="Times New Roman" w:cs="Times New Roman"/>
          <w:sz w:val="24"/>
          <w:szCs w:val="24"/>
        </w:rPr>
        <w:t>Положениями Федерального закона от 08.01.1998 № 3-ФЗ «О наркотических средствах и психотропных веществах» (ст. 46) и  Федерального закона от 13.03.2006 № 38-ФЗ «О рекламе» (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. 2 ст. 7) установлен запрет на рекламу, пропаганду наркотических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 xml:space="preserve">средств, психотропных веществ и их </w:t>
      </w:r>
      <w:proofErr w:type="spellStart"/>
      <w:r w:rsidRPr="002419B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419B5">
        <w:rPr>
          <w:rFonts w:ascii="Times New Roman" w:hAnsi="Times New Roman" w:cs="Times New Roman"/>
          <w:sz w:val="24"/>
          <w:szCs w:val="24"/>
        </w:rPr>
        <w:t xml:space="preserve">, культивирования </w:t>
      </w:r>
      <w:proofErr w:type="spellStart"/>
      <w:r w:rsidRPr="002419B5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2419B5">
        <w:rPr>
          <w:rFonts w:ascii="Times New Roman" w:hAnsi="Times New Roman" w:cs="Times New Roman"/>
          <w:sz w:val="24"/>
          <w:szCs w:val="24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419B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419B5">
        <w:rPr>
          <w:rFonts w:ascii="Times New Roman" w:hAnsi="Times New Roman" w:cs="Times New Roman"/>
          <w:sz w:val="24"/>
          <w:szCs w:val="24"/>
        </w:rPr>
        <w:t xml:space="preserve">, местах их приобретения, способах и местах культивирования </w:t>
      </w:r>
      <w:proofErr w:type="spellStart"/>
      <w:r w:rsidRPr="002419B5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2419B5">
        <w:rPr>
          <w:rFonts w:ascii="Times New Roman" w:hAnsi="Times New Roman" w:cs="Times New Roman"/>
          <w:sz w:val="24"/>
          <w:szCs w:val="24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или совершение иных действий в этих целях.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Рекламой признается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 xml:space="preserve">Кроме того, Федеральным законом от 29.12.2010 № 436-ФЗ «О защите детей от информации, причиняющей вред их здоровью и развитию» 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и т.д. отнесена к информации, причиняющей вред здоровью и (или) развитию детей (п. 2 ч. 2 ст. 6). </w:t>
      </w:r>
      <w:proofErr w:type="gramEnd"/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Нарушение вышеуказанных норм закона, совершение правонарушений в сфере незаконного оборота наркотических средств, психотропных, сильнодействующих веществ и их аналогов влечет административную, уголовную ответственность.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Положениями статьи 6.13 Кодекса Российской Федерации об административных правонарушениях предусмотрено, что пропаганда либо незаконная реклама наркотических сре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>ечет наложение административного штрафа: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на граждан в размере от четырех тысяч до пяти тысяч рублей с конфискацией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рекламной продукции и оборудования, использованного для ее изготовления;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 - на должностных лиц - от сорока тысяч до пятидесяти тысяч рублей;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 -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-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B5">
        <w:rPr>
          <w:rFonts w:ascii="Times New Roman" w:hAnsi="Times New Roman" w:cs="Times New Roman"/>
          <w:b/>
          <w:sz w:val="24"/>
          <w:szCs w:val="24"/>
        </w:rPr>
        <w:t>Для чего необходимо диспансерное наблюдение</w:t>
      </w:r>
    </w:p>
    <w:p w:rsidR="002419B5" w:rsidRP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lastRenderedPageBreak/>
        <w:t>В силу ст. 46 Федерального закона «Об основах охраны здоровья граждан в Российской Федерации» 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Порядок и периодичность их проведения и перечень включаемых в них исследований утверждаются уполномоченным федеральным органом исполнительной власти.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9B5">
        <w:rPr>
          <w:rFonts w:ascii="Times New Roman" w:hAnsi="Times New Roman" w:cs="Times New Roman"/>
          <w:sz w:val="24"/>
          <w:szCs w:val="24"/>
        </w:rPr>
        <w:t xml:space="preserve">Законом закреплено, что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Так,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То есть это соответствующее регулярное обследование лиц, нуждающихся в этом по состоянию здоровья и его осуществление призвано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снизить число рисков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хронических заболеваний, своевременно выявлять осложнения от них, а также назначать и корректировать лечение лиц, страдающих ими.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>Порядок проведения диспансерного наблюдения, осуществляемый  медицинскими организациями за лицами в возрасте 18 лет и старше утвержден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Приказом  Министерства здравоохранения РФ от 29.03.2019 № 173н, вступил в действие с 7 мая.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При проведении первого в текущем году диспансерного приема (осмотра, консультации) в рамках диспансерного наблюдения организуется проведение профилактического медицинского осмотра  лица, находящегося под диспансерным наблюдением.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>Диспансерный прием (осмотр, консультация) медицинским работником включает в себя  оценку состояния лица, сбор жалоб и анамнеза, назначение и оценку лабораторных и инструментальных исследований; установление или уточнение диагноза заболевания (состояния); 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>При наличии медицинских показаний лицу, находящемуся под диспансерным наблюдением, назначаются дополнительные профилактические, диагностические, лечебные и реабилитационные мероприятия, в частности,  направление пациента в медицинскую организацию, оказывающую специализированную, в том числе высокотехнологичную, медицинскую помощь; на санаторно-курортное лечение;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  <w:proofErr w:type="gramEnd"/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B5">
        <w:rPr>
          <w:rFonts w:ascii="Times New Roman" w:hAnsi="Times New Roman" w:cs="Times New Roman"/>
          <w:b/>
          <w:sz w:val="24"/>
          <w:szCs w:val="24"/>
        </w:rPr>
        <w:t xml:space="preserve">О праве подозреваемых и обвиняемых на участие </w:t>
      </w:r>
    </w:p>
    <w:p w:rsid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B5">
        <w:rPr>
          <w:rFonts w:ascii="Times New Roman" w:hAnsi="Times New Roman" w:cs="Times New Roman"/>
          <w:b/>
          <w:sz w:val="24"/>
          <w:szCs w:val="24"/>
        </w:rPr>
        <w:t>в гражданско-правовой сделке</w:t>
      </w:r>
    </w:p>
    <w:p w:rsidR="002419B5" w:rsidRP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 xml:space="preserve">Федеральный Закон № 103-ФЗ «О содержании под стражей подозреваемых и обвиняемых в совершении преступлений» регулирует порядок и определяет условия содержания под стражей, гарантии прав и законных интересов лиц, которые в соответствии с Уголовно-процессуальным кодексом РФ задержаны по подозрению в совершении преступления, а также лиц, подозреваемых и обвиняемых в совершении </w:t>
      </w:r>
      <w:r w:rsidRPr="002419B5">
        <w:rPr>
          <w:rFonts w:ascii="Times New Roman" w:hAnsi="Times New Roman" w:cs="Times New Roman"/>
          <w:sz w:val="24"/>
          <w:szCs w:val="24"/>
        </w:rPr>
        <w:lastRenderedPageBreak/>
        <w:t>преступлений, в отношении которых избрана мера пресечения в виде заключения под стражу.</w:t>
      </w:r>
      <w:proofErr w:type="gramEnd"/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В силу статьи 29 названного закона подозреваемые и обвиняемые имеют право с разрешения лица или органа, в производстве которых находится уголовное дело, и в порядке, установленном Правилами внутреннего распорядка, участвовать в гражданско-правовых сделках через своих представителей или непосредственно, за исключением случаев, предусмотренных Уголовно-процессуальным кодексом Российской Федерации.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>Согласно п. 118 Правил внутреннего распорядка следственных изоляторов уголовно-исполнительной системы (утв. Приказом Минюста РФ от 14.10.2005 № 189) для осуществления гражданско-правовой сделки подозреваемый или обвиняемый с разрешения лица или органа, в производстве которых находится уголовное дело, выдает своему представителю доверенность, которая в соответствии со статьей 185 Гражданского кодекса РФ удостоверяется начальником СИЗО либо лицом, его замещающим.</w:t>
      </w:r>
      <w:proofErr w:type="gramEnd"/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Данные нормы права содержат фактические основания и процессуальные требования для администрации мест содержания под стражей в вопросах соблюдения прав подозреваемых и обвиняемых как участников правоотношений, регулируемых гражданским законодательством.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Ходатайство о разрешении на участие в гражданско-правовой сделке может быть заявлено самим подозреваемым или обвиняемым, его защитником или представителем, любо иным заинтересованным лицом, в том числе претендующим на участие в гражданско-правовой сделке. Орган или лицо, в производстве которого находится уголовное дело, при рассмотрении ходатайства от иного заинтересованного лица должен выяснить отношение содержащегося под стражей подозреваемого или обвиняемого к возможной сделке и документально зафиксировать его позицию. Разрешение на участие подозреваемого или обвиняемого в сделке должно быть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письменным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и является фактически юридическим документом, без которого сделка может быть признана недействительной. Первый экземпляр документа о разрешении подозреваемому или обвиняемому участвовать в гражданско-правовой сделке должен быть приобщен к уголовному делу, а второй - к личному делу арестованного или протоколу задержания подозреваемого.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Отказано в даче разрешения на участие подозреваемого или обвиняемого в сделке лицом или органом, в производстве которого находится уголовное дело, может быть в случаях, если сделка не соответствует закону или иному правовому акту, противоречит основам правопорядка и нравственности, является мнимой и притворной, а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если к ее совершению привлекается недееспособный или она выходит за пределы правоспособности хотя бы одного из ее участников.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Такой отказ может быть обжалован прокурору или в суд, отказ суда - в вышестоящий суд, заинтересованным лицом, включая самого подозреваемого или обвиняемого. Заинтересованным лицом (например, потерпевшим гражданским истцом) может быть обжаловано и разрешение на участие в сделке.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Подозреваемый и обвиняемый не вправе совершать сделки с находящимся у него в собственности имуществом, на которое в соответствии со ст.115 УПК РФ для обеспечения исполнения приговора в части гражданского иска, взыскания штрафа, других имущественных взысканий или возможной конфискации имущества наложен арест. Решение о наложении ареста на имущество принимается судом по ходатайству, направленному следователем с согласия руководителя следственного органа, а также дознавателем с согласия прокурора. Наложение ареста на имущество состоит в запрете, адресованном собственнику или владельцу имущества, распоряжаться и в необходимых случаях пользоваться им, а также в изъятии имущества и передаче его на хранение. При наложении ареста на принадлежащие подозреваемому, обвиняемому денежные средства и иные ценности, находящиеся на счете, во вкладе или на хранении в банках и иных кредитных организациях, операции по данному счету прекращаются полностью или частично в пределах денежных средств и иных ценностей, на которые наложен арест.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Представитель лица, содержащегося под стражей, может заключать сделку от его имени на основании письменной доверенности, указания закона либо акта уполномоченного на то государственного органа или органа местного самоуправления. В тех случаях, когда подозреваемый или обвиняемый желает участвовать в гражданско-правовой сделке через своего представителя, он дает ему письменную доверенность. Граждане, желающие получить доверенность от подозреваемого или обвиняемого, обращаются с заявлением на личном приеме либо направляют его по почте представителю </w:t>
      </w:r>
      <w:r w:rsidRPr="002419B5">
        <w:rPr>
          <w:rFonts w:ascii="Times New Roman" w:hAnsi="Times New Roman" w:cs="Times New Roman"/>
          <w:sz w:val="24"/>
          <w:szCs w:val="24"/>
        </w:rPr>
        <w:lastRenderedPageBreak/>
        <w:t>администрации места содержания под стражей, лицу или органу, в производстве которого находится уголовное дело.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Доверенность на совершение сделок, требующих нотариальной формы, должна быть нотариально удостоверена. В соответствии со ст.185.1 ГК РФ к нотариально удостоверенным доверенностям приравниваются доверенности лиц, находящихся в местах лишения свободы, которые удостоверены начальником соответствующего места лишения свободы, а также по аналогии закона доверенности лиц, содержащихся под стражей, удостоверенные начальником места содержания под стражей. Если в доверенности не указан срок ее действия, она сохраняет силу в течение года со дня ее совершения. В доверенности должна быть указана дата ее совершения, в противном случае она не имеет силы.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Не допускается совершение сделки через представителя, которая по своему характеру может быть совершена только лично. Запрет на совершение некоторых видов сделок через представителя обусловлен именно характером и спецификой указанных сделок, то есть тем обстоятельством, что при их совершении решающее значение имеет личность субъекта, совершающего сделку. Так, например, заключение брачного договора, договора пожизненного содержания, совершение завещания и др. являются сделками, которые могут быть заключены только лично.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Администрация места содержания под стражей должна обеспечить подозреваемого или обвиняемого бланком доверенности по его просьбе и разъяснить порядок ее составления. Доверенность передается или направляется лицу, на имя которого она составлена.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Действие доверенности прекращается вследствие: истечения срока доверенности; отмены доверенности лицом, выдавшим ее, или одним из лиц, выдавших доверенность совместно; отказа лица, которому выдана доверенность, от полномочий; смерти гражданина, выдавшего доверенность, признания его недееспособным, ограниченно дееспособным или безвестно отсутствующим; смерти гражданина, которому выдана доверенность, признания его недееспособным, ограниченно дееспособным или безвестно отсутствующим.</w:t>
      </w:r>
      <w:proofErr w:type="gramEnd"/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Лицо, выдавшее доверенность, вправе отменить ее. Волеизъявление об этом должно быть письменным. Отмена доверенности удостоверяется администрацией места содержания под стражей.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B5">
        <w:rPr>
          <w:rFonts w:ascii="Times New Roman" w:hAnsi="Times New Roman" w:cs="Times New Roman"/>
          <w:b/>
          <w:sz w:val="24"/>
          <w:szCs w:val="24"/>
        </w:rPr>
        <w:t>Освобождение осужденного от дальнейшего отбывания наказания в связи с тяжелой болезнью</w:t>
      </w:r>
    </w:p>
    <w:p w:rsidR="002419B5" w:rsidRP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Осужденный, заболевший тяжелой болезнью, препятствующей отбыванию наказания, вправе обратиться в суд с ходатайством об освобождении его от дальнейшего отбывания наказания в соответствии со ст. 81 УК РФ, которое подается им через администрацию учреждения или органа, исполняющего наказание.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Начальником учреждения или органа, исполняющего наказание, также может быть подано  в суд представление об освобождении осужденного от дальнейшего отбывания наказания в связи с тяжелой болезнью при  невозможности самостоятельного обращения осужденного.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названными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ходатайством либо представлением одновременно должны быть направлены заключение медицинской комиссии или учреждения медико-социальной экспертизы и личное дело осужденного.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Перечень заболеваний, препятствующих отбыванию наказания, порядок направления на медицинское освидетельствование осужденных, ходатайствующих об освобождении (представляемых к освобождению) от отбывания наказания в связи с болезнью, и порядок медицинского освидетельствования осужденных, ходатайствующих об освобождении (представляемых к освобождению) от отбывания наказания в связи с болезнью, утвержден постановлением Правительства Российской Федерации № 54 от 06.02.2014.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 xml:space="preserve">Кроме того, Федеральным законом от 06.03.2019 № 18-ФЗ внесены изменения в Федеральный закон «Об основах охраны здоровья граждан в Российской Федерации» по вопросам оказания паллиативной медицинской помощи, которая определена законом как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</w:t>
      </w:r>
      <w:r w:rsidRPr="002419B5">
        <w:rPr>
          <w:rFonts w:ascii="Times New Roman" w:hAnsi="Times New Roman" w:cs="Times New Roman"/>
          <w:sz w:val="24"/>
          <w:szCs w:val="24"/>
        </w:rPr>
        <w:lastRenderedPageBreak/>
        <w:t>проявлений заболевания.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Такая помощь может оказываться в амбулаторных условиях, в том числе на дому, и в условиях дневного стационара, стационарных условиях медицинскими работниками, прошедшими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такой помощи.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 и религиозными организациями.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Также указанным законом гарантируется предоставление пациенту для использования на дому медицинских изделий, предназначенных для поддержания функций органов и систем организма человека.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B5">
        <w:rPr>
          <w:rFonts w:ascii="Times New Roman" w:hAnsi="Times New Roman" w:cs="Times New Roman"/>
          <w:b/>
          <w:sz w:val="24"/>
          <w:szCs w:val="24"/>
        </w:rPr>
        <w:t>Стоит ли получать «черную» либо «серую» заработную плату?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Статьей 16 Трудового Кодекса РФ предусмотрено, что трудовые отношения возникают между работником и работодателем на основании трудового договора, заключаемого ими в соответствии с настоящим кодексом.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В соответствии со ст. 20 ТК РФ для целей настоящего Кодекса работодателями - физическими лицами признаются также физические лица,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лица, вступившие в трудовые отношения с работниками в целях осуществления указанной деятельности.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Статьей 67 ТК РФ установлено, что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Таким образом, правило об обязательности письменной формы трудового договора сформулировано в императивной норме, не допускающей возможности заключения устного трудового договора.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путем заключения, изменения, дополнения работниками и работодателями коллективных договоров, соглашений, трудовых договоров может осуществляться регулирование трудовых и иных, непосредственно связанных с ними, отношений.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Действующим трудовым законодательством на работодателей при трудоустройстве граждан возложена обязанность надлежащим образом своевременно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выплачивать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заработную плату, перечислять страховые и налоговые взносы за работников организации.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Во избежание нарушения прав на получение официальной заработной платы при устройстве на работу следует четко оговорить с работодателем условия оплаты труда, проследить, чтобы все договоренности были зафиксированы в трудовом договоре.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 xml:space="preserve">Вместе с тем, имеют место случаи выплаты, так называемой неофициально, «серой» или «черной» заработной платы, то есть денежных средств, выплачиваемых за работу, осуществляемую при отсутствии официального оформления трудовых отношений с работником (не заключается трудовой договор, не заполняется трудовая книжка), сведений о заработной плате в бухгалтерских документах. </w:t>
      </w:r>
      <w:proofErr w:type="gramEnd"/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Таким образом, можно говорить о ведении организацией (индивидуальным предпринимателем) двойной бухгалтерии и оплате труда из неучтенных доходов.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Работники, имеющие неофициальный заработок, лишены права на получение социальных гарантий, и могут рассчитывать лишь на минимальный размер пенсии по старости. Кроме того, расчет отпускных, выплат по листку нетрудоспособности производится с учетом размера официальной заработной платы.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Каждый человек трудоспособного возраста должен понимать, что его работа является не только источником дохода, но и наработанного периода, который </w:t>
      </w:r>
      <w:r w:rsidRPr="002419B5">
        <w:rPr>
          <w:rFonts w:ascii="Times New Roman" w:hAnsi="Times New Roman" w:cs="Times New Roman"/>
          <w:sz w:val="24"/>
          <w:szCs w:val="24"/>
        </w:rPr>
        <w:lastRenderedPageBreak/>
        <w:t>впоследствии будет учитываться при начислении выплат, в том числе пенсии - выплаты, назначаемые лицу при выходе на заслуженный отдых.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Кроме того, в случае возникновения конфликта с работодателем работник будет лишен части неофициальных выплат, а при увольнении получит расчет исходя из официально установленного заработка.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Необходимо помнить, что отказ работодателя от заключения трудового договора уже свидетельствует о его недобросовестности. Ведь это означает не только уклонение от уплаты налогов, но и намерение отказаться от исполнения обязанностей по социальному страхованию, по возмещению вреда здоровью, оплате и охране труда и т.д.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>Для недобросовестных работодателей, стремящихся понизить размер уплачиваемых налогов и взносов, выплачивающих своим сотрудникам «серую» или «черную» зарплату, действующим законодательством предусмотрена ответственность за  невыполнение налоговым агентом обязанности по удержанию налогов (ст. 123 Налогового кодекса РФ, предусмотрен штраф – 20% от суммы НДФЛ за срок, в течение которого он должен был перечислять деньги в бюджет);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 за нарушение требований к бухгалтерскому учету (ст. 15.11 Кодекса об административных правонарушениях РФ, предусмотрен штраф до 20 тыс. руб., а также дисквалификация на период до 2-х лет).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За неисполнение обязанностей налогового агента работодатель может быть привлечен к ответственности по  ст. 199.1 Уголовного кодекса РФ (далее – УК РФ), которой предусмотрено наказание в виде штрафов и лишения свободы.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Работникам получение заработка в  виде «черных» или «серых» зарплат тоже грозит не только  получением минимальной пенсии в будущем, но и уголовной ответственностью в случае неуплаты налогов в крупном размере (ст. 198 УК РФ).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При возникновении ситуации, когда работодатель отказывает в официальном оформлении трудовых взаимоотношений, работник имеет право написать заявление о нелегальных выплатах и предоставить его в территориальную трудовую инспекцию либо в налоговую службу по месту регистрации организации.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B5">
        <w:rPr>
          <w:rFonts w:ascii="Times New Roman" w:hAnsi="Times New Roman" w:cs="Times New Roman"/>
          <w:b/>
          <w:sz w:val="24"/>
          <w:szCs w:val="24"/>
        </w:rPr>
        <w:t>Понятия трудового и гражданско-правого договоров</w:t>
      </w:r>
    </w:p>
    <w:p w:rsidR="002419B5" w:rsidRPr="002419B5" w:rsidRDefault="002419B5" w:rsidP="002419B5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В законодательстве имеется разграничение трудового договора и смежных с ним гражданско-правовых договоров.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Так, в силу статьи 56 Трудового Кодекса РФ трудовой договор-соглашение между работодателем и работником, в соответствии с которым работодатель, в частности,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плату. Работник, в свою очередь,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В отличие от трудового договора по гражданско-правовому договору исполняется конкретное задание (поручение, заказ и др.). Предметом такого договора служит конечный результат труда (конкретные выполненные работы – доставка груза, вывоз мусора, ремонт и др.).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9B5">
        <w:rPr>
          <w:rFonts w:ascii="Times New Roman" w:hAnsi="Times New Roman" w:cs="Times New Roman"/>
          <w:sz w:val="24"/>
          <w:szCs w:val="24"/>
        </w:rPr>
        <w:t xml:space="preserve">Отличительными признаками трудового договора являются также зачисление работника по определенной должности или профессии в соответствии со штатным расписанием; прием на работу по личному заявлению, издание приказа (распоряжения) работодателя, в котором указывается профессия или должность, размер заработной платы, дата начала работы и др., а также внесение записи о работе в трудовую книжку, а также  порядок и форма оплаты труда. </w:t>
      </w:r>
      <w:proofErr w:type="gramEnd"/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 xml:space="preserve">Так, оплата труда </w:t>
      </w:r>
      <w:proofErr w:type="gramStart"/>
      <w:r w:rsidRPr="002419B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2419B5">
        <w:rPr>
          <w:rFonts w:ascii="Times New Roman" w:hAnsi="Times New Roman" w:cs="Times New Roman"/>
          <w:sz w:val="24"/>
          <w:szCs w:val="24"/>
        </w:rPr>
        <w:t xml:space="preserve">, зависит от трудового вклада и качества труда. При этом обычно применяются тарифные ставки и оклады и заработная плата должна выплачиваться регулярно. 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По гражданско-правовым договорам цена выполненной работы (услуги), порядок ее оплаты определяются, как правило, в договоре по соглашению сторон, а выдача вознаграждения производится после окончания работы и подписания акта выполненных работ.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Для разграничения трудового договора и с гражданско-правовых договоров  необходимо располагать их полноценными текстами.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lastRenderedPageBreak/>
        <w:t>Необходимо отметить, что гарантии, предусмотренные трудовым законодательством, не распространяются на гражданско-правовые отношения.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При нарушении условий гражданско–правовых договоров единственным способом защиты является обращение в суд.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B5">
        <w:rPr>
          <w:rFonts w:ascii="Times New Roman" w:hAnsi="Times New Roman" w:cs="Times New Roman"/>
          <w:sz w:val="24"/>
          <w:szCs w:val="24"/>
        </w:rPr>
        <w:t>При заключении трудового договора работник имеет возможность защищать свои трудовые права самостоятельно либо посредством обращения в  профессиональные союзы и в трудовую инспекцию, либо путем обращения в суд.</w:t>
      </w: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Pr="002419B5" w:rsidRDefault="002419B5" w:rsidP="002419B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9B5" w:rsidRDefault="002419B5" w:rsidP="00D148E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B9E" w:rsidRPr="000530C2" w:rsidRDefault="002419B5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48EF" w:rsidRPr="000530C2">
        <w:rPr>
          <w:rFonts w:ascii="Times New Roman" w:hAnsi="Times New Roman" w:cs="Times New Roman"/>
          <w:sz w:val="24"/>
          <w:szCs w:val="24"/>
        </w:rPr>
        <w:t xml:space="preserve">рокурор </w:t>
      </w:r>
      <w:r w:rsidR="00860293" w:rsidRPr="000530C2">
        <w:rPr>
          <w:rFonts w:ascii="Times New Roman" w:hAnsi="Times New Roman" w:cs="Times New Roman"/>
          <w:sz w:val="24"/>
          <w:szCs w:val="24"/>
        </w:rPr>
        <w:t>района</w:t>
      </w:r>
    </w:p>
    <w:p w:rsidR="00D148EF" w:rsidRPr="000530C2" w:rsidRDefault="002419B5" w:rsidP="00D148E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</w:t>
      </w:r>
      <w:r w:rsidR="00860293" w:rsidRPr="000530C2">
        <w:rPr>
          <w:rFonts w:ascii="Times New Roman" w:hAnsi="Times New Roman" w:cs="Times New Roman"/>
          <w:sz w:val="24"/>
          <w:szCs w:val="24"/>
        </w:rPr>
        <w:t xml:space="preserve">оветник юстиции                                                        </w:t>
      </w:r>
      <w:r w:rsidR="00D148EF" w:rsidRPr="000530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30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Лапотников</w:t>
      </w:r>
      <w:proofErr w:type="gramEnd"/>
    </w:p>
    <w:p w:rsidR="00D148EF" w:rsidRPr="000530C2" w:rsidRDefault="00D148EF" w:rsidP="00D148E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4B87" w:rsidRPr="000530C2" w:rsidRDefault="00D148EF" w:rsidP="00D148E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530C2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Pr="000530C2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0530C2">
        <w:rPr>
          <w:rFonts w:ascii="Times New Roman" w:hAnsi="Times New Roman" w:cs="Times New Roman"/>
          <w:sz w:val="24"/>
          <w:szCs w:val="24"/>
        </w:rPr>
        <w:t xml:space="preserve">  32701</w:t>
      </w:r>
    </w:p>
    <w:sectPr w:rsidR="00874B87" w:rsidRPr="000530C2" w:rsidSect="00551E1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01" w:rsidRDefault="00360D01" w:rsidP="00551E15">
      <w:pPr>
        <w:spacing w:after="0" w:line="240" w:lineRule="auto"/>
      </w:pPr>
      <w:r>
        <w:separator/>
      </w:r>
    </w:p>
  </w:endnote>
  <w:endnote w:type="continuationSeparator" w:id="0">
    <w:p w:rsidR="00360D01" w:rsidRDefault="00360D01" w:rsidP="0055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01" w:rsidRDefault="00360D01" w:rsidP="00551E15">
      <w:pPr>
        <w:spacing w:after="0" w:line="240" w:lineRule="auto"/>
      </w:pPr>
      <w:r>
        <w:separator/>
      </w:r>
    </w:p>
  </w:footnote>
  <w:footnote w:type="continuationSeparator" w:id="0">
    <w:p w:rsidR="00360D01" w:rsidRDefault="00360D01" w:rsidP="0055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502599"/>
      <w:docPartObj>
        <w:docPartGallery w:val="Page Numbers (Top of Page)"/>
        <w:docPartUnique/>
      </w:docPartObj>
    </w:sdtPr>
    <w:sdtContent>
      <w:p w:rsidR="00551E15" w:rsidRDefault="00920979">
        <w:pPr>
          <w:pStyle w:val="a5"/>
          <w:jc w:val="center"/>
        </w:pPr>
        <w:r>
          <w:fldChar w:fldCharType="begin"/>
        </w:r>
        <w:r w:rsidR="00551E15">
          <w:instrText>PAGE   \* MERGEFORMAT</w:instrText>
        </w:r>
        <w:r>
          <w:fldChar w:fldCharType="separate"/>
        </w:r>
        <w:r w:rsidR="00A82265">
          <w:rPr>
            <w:noProof/>
          </w:rPr>
          <w:t>2</w:t>
        </w:r>
        <w:r>
          <w:fldChar w:fldCharType="end"/>
        </w:r>
      </w:p>
    </w:sdtContent>
  </w:sdt>
  <w:p w:rsidR="00551E15" w:rsidRDefault="00551E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203"/>
    <w:rsid w:val="00035158"/>
    <w:rsid w:val="000530C2"/>
    <w:rsid w:val="000C0777"/>
    <w:rsid w:val="00126847"/>
    <w:rsid w:val="001912B2"/>
    <w:rsid w:val="00210018"/>
    <w:rsid w:val="002419B5"/>
    <w:rsid w:val="00251918"/>
    <w:rsid w:val="002535D2"/>
    <w:rsid w:val="002A0D9D"/>
    <w:rsid w:val="002D0F6D"/>
    <w:rsid w:val="00325208"/>
    <w:rsid w:val="00360D01"/>
    <w:rsid w:val="0038056C"/>
    <w:rsid w:val="00414AC4"/>
    <w:rsid w:val="004C0ABF"/>
    <w:rsid w:val="00551E15"/>
    <w:rsid w:val="00587688"/>
    <w:rsid w:val="005E1F09"/>
    <w:rsid w:val="00685DC7"/>
    <w:rsid w:val="00711E6A"/>
    <w:rsid w:val="00832034"/>
    <w:rsid w:val="00860293"/>
    <w:rsid w:val="00874B87"/>
    <w:rsid w:val="008C4612"/>
    <w:rsid w:val="00916CD0"/>
    <w:rsid w:val="00916FB7"/>
    <w:rsid w:val="00920979"/>
    <w:rsid w:val="00923ED5"/>
    <w:rsid w:val="00996031"/>
    <w:rsid w:val="00A0610C"/>
    <w:rsid w:val="00A07B82"/>
    <w:rsid w:val="00A82265"/>
    <w:rsid w:val="00AF157C"/>
    <w:rsid w:val="00B37A21"/>
    <w:rsid w:val="00B815CA"/>
    <w:rsid w:val="00BC4A76"/>
    <w:rsid w:val="00BC6163"/>
    <w:rsid w:val="00BE6ADC"/>
    <w:rsid w:val="00BF5203"/>
    <w:rsid w:val="00C3308B"/>
    <w:rsid w:val="00CE4E66"/>
    <w:rsid w:val="00D13B17"/>
    <w:rsid w:val="00D148EF"/>
    <w:rsid w:val="00D77785"/>
    <w:rsid w:val="00DC5CFB"/>
    <w:rsid w:val="00DD4B9E"/>
    <w:rsid w:val="00E91B0B"/>
    <w:rsid w:val="00ED695C"/>
    <w:rsid w:val="00F2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E15"/>
  </w:style>
  <w:style w:type="paragraph" w:styleId="a7">
    <w:name w:val="footer"/>
    <w:basedOn w:val="a"/>
    <w:link w:val="a8"/>
    <w:uiPriority w:val="99"/>
    <w:unhideWhenUsed/>
    <w:rsid w:val="0055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E15"/>
  </w:style>
  <w:style w:type="paragraph" w:styleId="a7">
    <w:name w:val="footer"/>
    <w:basedOn w:val="a"/>
    <w:link w:val="a8"/>
    <w:uiPriority w:val="99"/>
    <w:unhideWhenUsed/>
    <w:rsid w:val="0055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ЖКХ</cp:lastModifiedBy>
  <cp:revision>4</cp:revision>
  <cp:lastPrinted>2019-06-05T13:13:00Z</cp:lastPrinted>
  <dcterms:created xsi:type="dcterms:W3CDTF">2019-06-05T13:28:00Z</dcterms:created>
  <dcterms:modified xsi:type="dcterms:W3CDTF">2019-06-06T06:20:00Z</dcterms:modified>
</cp:coreProperties>
</file>