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9" o:title=""/>
          </v:shape>
          <o:OLEObject Type="Embed" ProgID="Imaging." ShapeID="_x0000_i1025" DrawAspect="Content" ObjectID="_1607497182" r:id="rId10"/>
        </w:object>
      </w:r>
    </w:p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2</w:t>
      </w:r>
      <w:r w:rsidR="00741984">
        <w:rPr>
          <w:rFonts w:ascii="Bookman Old Style" w:hAnsi="Bookman Old Style"/>
          <w:sz w:val="24"/>
          <w:szCs w:val="24"/>
        </w:rPr>
        <w:t>8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741984">
        <w:rPr>
          <w:rFonts w:ascii="Bookman Old Style" w:hAnsi="Bookman Old Style"/>
          <w:sz w:val="24"/>
          <w:szCs w:val="24"/>
        </w:rPr>
        <w:t>28</w:t>
      </w:r>
      <w:r w:rsidR="00BB5FBD">
        <w:rPr>
          <w:rFonts w:ascii="Bookman Old Style" w:hAnsi="Bookman Old Style"/>
          <w:sz w:val="24"/>
          <w:szCs w:val="24"/>
        </w:rPr>
        <w:t>.1</w:t>
      </w:r>
      <w:r w:rsidR="00741984">
        <w:rPr>
          <w:rFonts w:ascii="Bookman Old Style" w:hAnsi="Bookman Old Style"/>
          <w:sz w:val="24"/>
          <w:szCs w:val="24"/>
        </w:rPr>
        <w:t>2</w:t>
      </w:r>
      <w:r w:rsidR="00BB5FB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A24EBC">
        <w:rPr>
          <w:rFonts w:ascii="Bookman Old Style" w:hAnsi="Bookman Old Style"/>
          <w:sz w:val="24"/>
          <w:szCs w:val="24"/>
        </w:rPr>
        <w:t>8</w:t>
      </w:r>
      <w:r w:rsidR="000B2F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201</w:t>
      </w:r>
      <w:r w:rsidR="00A24EBC">
        <w:rPr>
          <w:b w:val="0"/>
        </w:rPr>
        <w:t>9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</w:t>
      </w:r>
      <w:proofErr w:type="gramStart"/>
      <w:r w:rsidR="006448B2">
        <w:rPr>
          <w:b w:val="0"/>
        </w:rPr>
        <w:t>на</w:t>
      </w:r>
      <w:proofErr w:type="gramEnd"/>
      <w:r w:rsidR="006448B2">
        <w:rPr>
          <w:b w:val="0"/>
        </w:rPr>
        <w:t xml:space="preserve">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20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21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201</w:t>
      </w:r>
      <w:r w:rsidR="00AE781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9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741984">
        <w:rPr>
          <w:rFonts w:ascii="Bookman Old Style" w:hAnsi="Bookman Old Style"/>
          <w:color w:val="000000"/>
          <w:sz w:val="24"/>
          <w:szCs w:val="24"/>
        </w:rPr>
        <w:t>3 132,8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741984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741984">
        <w:rPr>
          <w:rFonts w:ascii="Bookman Old Style" w:hAnsi="Bookman Old Style"/>
          <w:color w:val="000000"/>
          <w:sz w:val="24"/>
          <w:szCs w:val="24"/>
        </w:rPr>
        <w:t>576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AE7813">
        <w:rPr>
          <w:rFonts w:ascii="Bookman Old Style" w:hAnsi="Bookman Old Style"/>
          <w:color w:val="000000"/>
          <w:sz w:val="24"/>
          <w:szCs w:val="24"/>
        </w:rPr>
        <w:t>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741984">
        <w:rPr>
          <w:rFonts w:ascii="Bookman Old Style" w:hAnsi="Bookman Old Style"/>
          <w:color w:val="000000"/>
          <w:sz w:val="24"/>
          <w:szCs w:val="24"/>
        </w:rPr>
        <w:t>3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41984">
        <w:rPr>
          <w:rFonts w:ascii="Bookman Old Style" w:hAnsi="Bookman Old Style"/>
          <w:color w:val="000000"/>
          <w:sz w:val="24"/>
          <w:szCs w:val="24"/>
        </w:rPr>
        <w:t>171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AE7813">
        <w:rPr>
          <w:rFonts w:ascii="Bookman Old Style" w:hAnsi="Bookman Old Style"/>
          <w:color w:val="000000"/>
          <w:sz w:val="24"/>
          <w:szCs w:val="24"/>
        </w:rPr>
        <w:t>7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38,9</w:t>
      </w:r>
      <w:r w:rsidRPr="00AB2E7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рублей.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2019 год и на 2020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3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</w:rPr>
        <w:t>221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</w:rPr>
        <w:t>664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3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</w:rPr>
        <w:t>335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</w:t>
      </w:r>
      <w:proofErr w:type="gramEnd"/>
      <w:r w:rsidRPr="00F82B0C">
        <w:rPr>
          <w:rFonts w:ascii="Bookman Old Style" w:hAnsi="Bookman Old Style"/>
          <w:color w:val="000000"/>
          <w:sz w:val="24"/>
          <w:szCs w:val="24"/>
        </w:rPr>
        <w:t xml:space="preserve">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</w:rPr>
        <w:t>760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3</w:t>
      </w:r>
      <w:r w:rsidR="005D5A4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47763">
        <w:rPr>
          <w:rFonts w:ascii="Bookman Old Style" w:hAnsi="Bookman Old Style"/>
          <w:color w:val="000000"/>
          <w:sz w:val="24"/>
          <w:szCs w:val="24"/>
        </w:rPr>
        <w:t>260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7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2021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375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39,0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на 2020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4</w:t>
      </w:r>
      <w:r w:rsidR="005D5A43">
        <w:rPr>
          <w:rFonts w:ascii="Bookman Old Style" w:hAnsi="Bookman Old Style"/>
          <w:color w:val="000000"/>
          <w:sz w:val="24"/>
          <w:szCs w:val="24"/>
        </w:rPr>
        <w:t>0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2. </w:t>
      </w: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2019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proofErr w:type="gramStart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20 и 2021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D67259">
        <w:rPr>
          <w:rFonts w:ascii="Bookman Old Style" w:hAnsi="Bookman Old Style"/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67259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00,0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E10E33">
        <w:rPr>
          <w:rFonts w:ascii="Bookman Old Style" w:hAnsi="Bookman Old Style"/>
          <w:color w:val="000000"/>
          <w:sz w:val="24"/>
          <w:szCs w:val="24"/>
        </w:rPr>
        <w:t>0,00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 и на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00,0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 и 2021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994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147763">
        <w:rPr>
          <w:rFonts w:ascii="Bookman Old Style" w:hAnsi="Bookman Old Style"/>
          <w:color w:val="000000"/>
          <w:sz w:val="24"/>
          <w:szCs w:val="24"/>
        </w:rPr>
        <w:t>тысяч рублей,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147763">
        <w:rPr>
          <w:rFonts w:ascii="Bookman Old Style" w:hAnsi="Bookman Old Style"/>
          <w:color w:val="000000"/>
          <w:sz w:val="24"/>
          <w:szCs w:val="24"/>
        </w:rPr>
        <w:t>081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 xml:space="preserve">9 тысяч рублей и </w:t>
      </w:r>
      <w:r w:rsidR="00147763" w:rsidRPr="007225BB">
        <w:rPr>
          <w:rFonts w:ascii="Bookman Old Style" w:hAnsi="Bookman Old Style"/>
          <w:color w:val="000000"/>
          <w:sz w:val="24"/>
          <w:szCs w:val="24"/>
        </w:rPr>
        <w:t>на 20</w:t>
      </w:r>
      <w:r w:rsidR="00147763">
        <w:rPr>
          <w:rFonts w:ascii="Bookman Old Style" w:hAnsi="Bookman Old Style"/>
          <w:color w:val="000000"/>
          <w:sz w:val="24"/>
          <w:szCs w:val="24"/>
        </w:rPr>
        <w:t>2</w:t>
      </w:r>
      <w:r w:rsidR="00147763">
        <w:rPr>
          <w:rFonts w:ascii="Bookman Old Style" w:hAnsi="Bookman Old Style"/>
          <w:color w:val="000000"/>
          <w:sz w:val="24"/>
          <w:szCs w:val="24"/>
        </w:rPr>
        <w:t>1</w:t>
      </w:r>
      <w:r w:rsidR="00147763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147763">
        <w:rPr>
          <w:rFonts w:ascii="Bookman Old Style" w:hAnsi="Bookman Old Style"/>
          <w:color w:val="000000"/>
          <w:sz w:val="24"/>
          <w:szCs w:val="24"/>
        </w:rPr>
        <w:t>1</w:t>
      </w:r>
      <w:r w:rsidR="00147763">
        <w:rPr>
          <w:rFonts w:ascii="Bookman Old Style" w:hAnsi="Bookman Old Style"/>
          <w:color w:val="000000"/>
          <w:sz w:val="24"/>
          <w:szCs w:val="24"/>
        </w:rPr>
        <w:t> 17</w:t>
      </w:r>
      <w:r w:rsidR="00147763">
        <w:rPr>
          <w:rFonts w:ascii="Bookman Old Style" w:hAnsi="Bookman Old Style"/>
          <w:color w:val="000000"/>
          <w:sz w:val="24"/>
          <w:szCs w:val="24"/>
        </w:rPr>
        <w:t>7</w:t>
      </w:r>
      <w:r w:rsidR="00147763">
        <w:rPr>
          <w:rFonts w:ascii="Bookman Old Style" w:hAnsi="Bookman Old Style"/>
          <w:color w:val="000000"/>
          <w:sz w:val="24"/>
          <w:szCs w:val="24"/>
        </w:rPr>
        <w:t>,</w:t>
      </w:r>
      <w:r w:rsidR="00147763">
        <w:rPr>
          <w:rFonts w:ascii="Bookman Old Style" w:hAnsi="Bookman Old Style"/>
          <w:color w:val="000000"/>
          <w:sz w:val="24"/>
          <w:szCs w:val="24"/>
        </w:rPr>
        <w:t>2</w:t>
      </w:r>
      <w:bookmarkStart w:id="0" w:name="_GoBack"/>
      <w:bookmarkEnd w:id="0"/>
      <w:r w:rsidR="00147763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</w:p>
    <w:p w:rsidR="007225BB" w:rsidRDefault="007225BB" w:rsidP="00D67259">
      <w:pPr>
        <w:ind w:firstLine="709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>6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</w:t>
      </w:r>
      <w:proofErr w:type="gramStart"/>
      <w:r w:rsidR="00D67259" w:rsidRPr="007225BB">
        <w:rPr>
          <w:rFonts w:ascii="Bookman Old Style" w:hAnsi="Bookman Old Style"/>
          <w:sz w:val="24"/>
          <w:szCs w:val="24"/>
          <w:lang w:eastAsia="ru-RU"/>
        </w:rPr>
        <w:t>на</w:t>
      </w:r>
      <w:proofErr w:type="gramEnd"/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2019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20 и 2021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19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5D5A43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 xml:space="preserve"> на 1 января 2020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6E4F91">
        <w:rPr>
          <w:rFonts w:ascii="Bookman Old Style" w:hAnsi="Bookman Old Style"/>
          <w:color w:val="000000"/>
          <w:sz w:val="24"/>
          <w:szCs w:val="24"/>
        </w:rPr>
        <w:t>7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 w:rsidRP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20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CD25B6">
        <w:rPr>
          <w:rFonts w:ascii="Bookman Old Style" w:hAnsi="Bookman Old Style"/>
          <w:color w:val="000000"/>
          <w:sz w:val="24"/>
          <w:szCs w:val="24"/>
        </w:rPr>
        <w:t>1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CD25B6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201</w:t>
      </w:r>
      <w:r w:rsidR="00CD25B6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1. </w:t>
      </w:r>
      <w:proofErr w:type="gramStart"/>
      <w:r w:rsidRPr="005816DC">
        <w:rPr>
          <w:rFonts w:ascii="Bookman Old Style" w:hAnsi="Bookman Old Style"/>
          <w:color w:val="000000"/>
          <w:sz w:val="24"/>
          <w:szCs w:val="24"/>
        </w:rPr>
        <w:t xml:space="preserve">Установить в соответствии с частью 3 статьи 217 Бюджетного кодекса Российской Федерации, что основанием для внесения в 2018 году изменений, связанных с особенностями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, в показатели сводной бюджетной росписи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без внесения изменений в настоящее решение, является: </w:t>
      </w:r>
      <w:proofErr w:type="gramEnd"/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в пределах, предусмотренных бюджет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ом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муниципальног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CD0D25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CD0D25">
        <w:rPr>
          <w:rFonts w:ascii="Bookman Old Style" w:hAnsi="Bookman Old Style"/>
          <w:color w:val="000000"/>
          <w:sz w:val="24"/>
          <w:szCs w:val="24"/>
        </w:rPr>
        <w:t>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района 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ходе исполнения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пределах общего объема бюджетных ассигнований по источникам финансирования дефицита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;</w:t>
      </w:r>
    </w:p>
    <w:p w:rsidR="00A311BE" w:rsidRPr="005816DC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5816DC"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.</w:t>
      </w:r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2. </w:t>
      </w:r>
      <w:proofErr w:type="gramStart"/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2018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proofErr w:type="gramEnd"/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  <w:proofErr w:type="gramEnd"/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9.Установить,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</w:t>
      </w:r>
      <w:proofErr w:type="gramEnd"/>
      <w:r w:rsidRPr="00AF2964">
        <w:rPr>
          <w:rFonts w:ascii="Bookman Old Style" w:hAnsi="Bookman Old Style"/>
          <w:color w:val="000000"/>
          <w:sz w:val="24"/>
          <w:szCs w:val="24"/>
        </w:rPr>
        <w:t xml:space="preserve">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  <w:proofErr w:type="gramEnd"/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</w:t>
      </w: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</w:t>
      </w:r>
      <w:proofErr w:type="gramEnd"/>
      <w:r w:rsidR="00AF2964" w:rsidRPr="00AF2964">
        <w:rPr>
          <w:rFonts w:ascii="Bookman Old Style" w:hAnsi="Bookman Old Style"/>
          <w:sz w:val="24"/>
          <w:szCs w:val="24"/>
        </w:rPr>
        <w:t xml:space="preserve">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</w:t>
      </w:r>
      <w:proofErr w:type="spellStart"/>
      <w:r w:rsidRPr="001C09F6">
        <w:rPr>
          <w:rFonts w:ascii="Bookman Old Style" w:hAnsi="Bookman Old Style"/>
          <w:color w:val="000000"/>
          <w:sz w:val="24"/>
          <w:szCs w:val="24"/>
        </w:rPr>
        <w:t>т.ч</w:t>
      </w:r>
      <w:proofErr w:type="spellEnd"/>
      <w:r w:rsidRPr="001C09F6">
        <w:rPr>
          <w:rFonts w:ascii="Bookman Old Style" w:hAnsi="Bookman Old Style"/>
          <w:color w:val="000000"/>
          <w:sz w:val="24"/>
          <w:szCs w:val="24"/>
        </w:rPr>
        <w:t>. повышение квалификации), о приобретении горюче-смазочных материалов, запасных частей к автотранспортным средствам, о приобретении ави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а-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недействительными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proofErr w:type="gramStart"/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Моздокского района, за исключением решений, принятых в связи с вводом в эксплуатацию  объектов капитального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lastRenderedPageBreak/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Pr="003E0C77" w:rsidRDefault="00620212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    </w:t>
      </w:r>
      <w:r w:rsidR="00CA53E7">
        <w:rPr>
          <w:rFonts w:ascii="Bookman Old Style" w:hAnsi="Bookman Old Style"/>
          <w:sz w:val="24"/>
          <w:szCs w:val="24"/>
        </w:rPr>
        <w:t>М</w:t>
      </w:r>
      <w:r w:rsidR="001C09F6">
        <w:rPr>
          <w:rFonts w:ascii="Bookman Old Style" w:hAnsi="Bookman Old Style"/>
          <w:sz w:val="24"/>
          <w:szCs w:val="24"/>
        </w:rPr>
        <w:t>.</w:t>
      </w:r>
      <w:r w:rsidR="00CA53E7">
        <w:rPr>
          <w:rFonts w:ascii="Bookman Old Style" w:hAnsi="Bookman Old Style"/>
          <w:sz w:val="24"/>
          <w:szCs w:val="24"/>
        </w:rPr>
        <w:t>Н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53E7">
        <w:rPr>
          <w:rFonts w:ascii="Bookman Old Style" w:hAnsi="Bookman Old Style"/>
          <w:sz w:val="24"/>
          <w:szCs w:val="24"/>
        </w:rPr>
        <w:t>Будайчиев</w:t>
      </w:r>
      <w:proofErr w:type="spellEnd"/>
    </w:p>
    <w:sectPr w:rsidR="003E0C77" w:rsidRPr="003E0C77" w:rsidSect="004D5452">
      <w:headerReference w:type="even" r:id="rId11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72" w:rsidRDefault="00344E72">
      <w:r>
        <w:separator/>
      </w:r>
    </w:p>
  </w:endnote>
  <w:endnote w:type="continuationSeparator" w:id="0">
    <w:p w:rsidR="00344E72" w:rsidRDefault="003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72" w:rsidRDefault="00344E72">
      <w:r>
        <w:separator/>
      </w:r>
    </w:p>
  </w:footnote>
  <w:footnote w:type="continuationSeparator" w:id="0">
    <w:p w:rsidR="00344E72" w:rsidRDefault="0034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47763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51D7"/>
    <w:rsid w:val="00266BC6"/>
    <w:rsid w:val="002701FA"/>
    <w:rsid w:val="002703C2"/>
    <w:rsid w:val="00270F01"/>
    <w:rsid w:val="002713A7"/>
    <w:rsid w:val="00271D98"/>
    <w:rsid w:val="002721F9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E72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17EFF"/>
    <w:rsid w:val="00722471"/>
    <w:rsid w:val="007225BB"/>
    <w:rsid w:val="007245F8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1984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44FF"/>
    <w:rsid w:val="007F45B0"/>
    <w:rsid w:val="008007B1"/>
    <w:rsid w:val="008038CE"/>
    <w:rsid w:val="00803C64"/>
    <w:rsid w:val="0080492F"/>
    <w:rsid w:val="00804AA0"/>
    <w:rsid w:val="00806173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D5B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4F37"/>
    <w:rsid w:val="009C6962"/>
    <w:rsid w:val="009D04DE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DCE"/>
    <w:rsid w:val="00BE584A"/>
    <w:rsid w:val="00BE655E"/>
    <w:rsid w:val="00BE6867"/>
    <w:rsid w:val="00BF045B"/>
    <w:rsid w:val="00BF1EE1"/>
    <w:rsid w:val="00BF2B04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7B30"/>
    <w:rsid w:val="00D3440B"/>
    <w:rsid w:val="00D3512C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7BBD"/>
    <w:rsid w:val="00E804B5"/>
    <w:rsid w:val="00E80E09"/>
    <w:rsid w:val="00E8100F"/>
    <w:rsid w:val="00E822B5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6116-3EEA-41E9-B0E2-0668D60C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User1</cp:lastModifiedBy>
  <cp:revision>16</cp:revision>
  <cp:lastPrinted>2017-11-24T14:08:00Z</cp:lastPrinted>
  <dcterms:created xsi:type="dcterms:W3CDTF">2017-11-24T14:08:00Z</dcterms:created>
  <dcterms:modified xsi:type="dcterms:W3CDTF">2018-12-28T07:13:00Z</dcterms:modified>
</cp:coreProperties>
</file>